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C4" w:rsidRDefault="005711C4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4617FD" w:rsidRDefault="004617FD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4617FD" w:rsidRPr="005169B6" w:rsidRDefault="004617FD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4375A3">
        <w:rPr>
          <w:rFonts w:ascii="Arial" w:hAnsi="Arial" w:cs="Arial"/>
          <w:b/>
          <w:sz w:val="24"/>
          <w:szCs w:val="24"/>
          <w:u w:val="single"/>
        </w:rPr>
        <w:t>6 mai</w:t>
      </w:r>
      <w:r w:rsidR="00D4048D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4375A3">
        <w:rPr>
          <w:rFonts w:ascii="Arial" w:hAnsi="Arial" w:cs="Arial"/>
          <w:sz w:val="24"/>
          <w:szCs w:val="24"/>
          <w:lang w:val="ro-RO"/>
        </w:rPr>
        <w:t>06.05</w:t>
      </w:r>
      <w:r w:rsidR="00D4048D">
        <w:rPr>
          <w:rFonts w:ascii="Arial" w:hAnsi="Arial" w:cs="Arial"/>
          <w:sz w:val="24"/>
          <w:szCs w:val="24"/>
          <w:lang w:val="ro-RO"/>
        </w:rPr>
        <w:t>.2019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65192E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4375A3">
        <w:rPr>
          <w:rFonts w:ascii="Arial" w:hAnsi="Arial" w:cs="Arial"/>
          <w:sz w:val="24"/>
          <w:szCs w:val="24"/>
          <w:lang w:val="ro-RO"/>
        </w:rPr>
        <w:t>3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4375A3">
        <w:rPr>
          <w:rFonts w:ascii="Arial" w:hAnsi="Arial" w:cs="Arial"/>
          <w:sz w:val="24"/>
          <w:szCs w:val="24"/>
          <w:lang w:val="ro-RO"/>
        </w:rPr>
        <w:t>740/02.05</w:t>
      </w:r>
      <w:r w:rsidR="00D4048D">
        <w:rPr>
          <w:rFonts w:ascii="Arial" w:hAnsi="Arial" w:cs="Arial"/>
          <w:sz w:val="24"/>
          <w:szCs w:val="24"/>
          <w:lang w:val="ro-RO"/>
        </w:rPr>
        <w:t>.2019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7B7EC6" w:rsidRPr="00D001E2" w:rsidTr="0030336A"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7B7EC6" w:rsidRPr="00D001E2" w:rsidTr="0030336A"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7B7EC6" w:rsidRPr="00D001E2" w:rsidTr="0030336A"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7B7EC6" w:rsidRPr="00D001E2" w:rsidTr="0030336A">
        <w:trPr>
          <w:trHeight w:val="234"/>
        </w:trPr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2443D2" w:rsidRPr="00D001E2" w:rsidTr="0030336A">
        <w:trPr>
          <w:trHeight w:val="211"/>
        </w:trPr>
        <w:tc>
          <w:tcPr>
            <w:tcW w:w="911" w:type="dxa"/>
          </w:tcPr>
          <w:p w:rsidR="002443D2" w:rsidRPr="00D001E2" w:rsidRDefault="002443D2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2443D2" w:rsidRPr="00D001E2" w:rsidRDefault="004375A3" w:rsidP="00214E7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4375A3" w:rsidRPr="00D001E2" w:rsidTr="0030336A">
        <w:trPr>
          <w:trHeight w:val="204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4375A3" w:rsidRPr="00D001E2" w:rsidTr="0030336A">
        <w:trPr>
          <w:trHeight w:val="181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4375A3" w:rsidRPr="00D001E2" w:rsidTr="0030336A">
        <w:trPr>
          <w:trHeight w:val="181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4375A3" w:rsidRPr="00D001E2" w:rsidTr="0030336A">
        <w:trPr>
          <w:trHeight w:val="280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4375A3" w:rsidRPr="00D001E2" w:rsidTr="0030336A">
        <w:trPr>
          <w:trHeight w:val="74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4375A3" w:rsidRPr="00D001E2" w:rsidTr="0030336A">
        <w:trPr>
          <w:trHeight w:val="74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4375A3" w:rsidRPr="00D001E2" w:rsidTr="0030336A">
        <w:trPr>
          <w:trHeight w:val="280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4375A3" w:rsidRPr="00D001E2" w:rsidTr="0030336A">
        <w:trPr>
          <w:trHeight w:val="70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4375A3" w:rsidRPr="00D001E2" w:rsidTr="0030336A">
        <w:trPr>
          <w:trHeight w:val="121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4375A3" w:rsidRPr="00D001E2" w:rsidTr="0030336A">
        <w:trPr>
          <w:trHeight w:val="220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</w:t>
            </w:r>
            <w:r w:rsidR="00C25860">
              <w:rPr>
                <w:rFonts w:ascii="Arial" w:hAnsi="Arial"/>
                <w:b/>
                <w:sz w:val="24"/>
                <w:szCs w:val="24"/>
              </w:rPr>
              <w:t>O</w:t>
            </w:r>
            <w:r>
              <w:rPr>
                <w:rFonts w:ascii="Arial" w:hAnsi="Arial"/>
                <w:b/>
                <w:sz w:val="24"/>
                <w:szCs w:val="24"/>
              </w:rPr>
              <w:t>LAE</w:t>
            </w:r>
          </w:p>
        </w:tc>
      </w:tr>
      <w:tr w:rsidR="004375A3" w:rsidRPr="00D001E2" w:rsidTr="0030336A">
        <w:trPr>
          <w:trHeight w:val="227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2443D2" w:rsidRPr="00D001E2" w:rsidTr="0030336A">
        <w:trPr>
          <w:trHeight w:val="120"/>
        </w:trPr>
        <w:tc>
          <w:tcPr>
            <w:tcW w:w="911" w:type="dxa"/>
          </w:tcPr>
          <w:p w:rsidR="002443D2" w:rsidRPr="00D001E2" w:rsidRDefault="002443D2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2443D2" w:rsidRPr="00D001E2" w:rsidRDefault="004375A3" w:rsidP="00214E76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</w:tbl>
    <w:p w:rsidR="007B7EC6" w:rsidRDefault="007B7EC6" w:rsidP="007B7EC6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4375A3" w:rsidRDefault="004375A3" w:rsidP="007B7EC6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Lipsesc consilierii locali: Spiridon Mihaela-Iulia, Tim</w:t>
      </w:r>
      <w:r w:rsidR="00652178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fte Maria și Ungureanu </w:t>
      </w:r>
      <w:r w:rsidR="00652178">
        <w:rPr>
          <w:rFonts w:ascii="Arial" w:hAnsi="Arial"/>
          <w:sz w:val="24"/>
          <w:szCs w:val="24"/>
        </w:rPr>
        <w:t>V</w:t>
      </w:r>
      <w:r>
        <w:rPr>
          <w:rFonts w:ascii="Arial" w:hAnsi="Arial"/>
          <w:sz w:val="24"/>
          <w:szCs w:val="24"/>
        </w:rPr>
        <w:t>asilică-Cosmin.</w:t>
      </w:r>
    </w:p>
    <w:p w:rsidR="00512712" w:rsidRDefault="00512712" w:rsidP="007B7EC6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4375A3">
        <w:rPr>
          <w:rFonts w:ascii="Arial" w:hAnsi="Arial"/>
          <w:sz w:val="24"/>
          <w:szCs w:val="24"/>
        </w:rPr>
        <w:t xml:space="preserve">primarul municipiului Pașcani-dl. Pantazi Dumitru, </w:t>
      </w:r>
      <w:r w:rsidR="00AC0FA1">
        <w:rPr>
          <w:rFonts w:ascii="Arial" w:hAnsi="Arial"/>
          <w:sz w:val="24"/>
          <w:szCs w:val="24"/>
        </w:rPr>
        <w:t xml:space="preserve">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4375A3">
        <w:rPr>
          <w:rFonts w:ascii="Arial" w:hAnsi="Arial"/>
          <w:sz w:val="24"/>
          <w:szCs w:val="24"/>
        </w:rPr>
        <w:t xml:space="preserve">1 cetățean,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E721F1" w:rsidRDefault="00E721F1" w:rsidP="007B7EC6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813DB8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D4048D">
        <w:rPr>
          <w:rFonts w:ascii="Arial" w:hAnsi="Arial"/>
          <w:sz w:val="24"/>
          <w:szCs w:val="24"/>
        </w:rPr>
        <w:t>10,</w:t>
      </w:r>
      <w:r w:rsidR="004375A3">
        <w:rPr>
          <w:rFonts w:ascii="Arial" w:hAnsi="Arial"/>
          <w:sz w:val="24"/>
          <w:szCs w:val="24"/>
        </w:rPr>
        <w:t>40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D4048D" w:rsidRDefault="00D4048D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D4048D">
        <w:rPr>
          <w:rFonts w:ascii="Arial" w:hAnsi="Arial"/>
          <w:sz w:val="24"/>
          <w:szCs w:val="24"/>
        </w:rPr>
        <w:t xml:space="preserve">domnul </w:t>
      </w:r>
      <w:r w:rsidR="00C5277C">
        <w:rPr>
          <w:rFonts w:ascii="Arial" w:hAnsi="Arial"/>
          <w:sz w:val="24"/>
          <w:szCs w:val="24"/>
        </w:rPr>
        <w:t xml:space="preserve"> </w:t>
      </w:r>
      <w:r w:rsidR="00AC0FA1">
        <w:rPr>
          <w:rFonts w:ascii="Arial" w:hAnsi="Arial"/>
          <w:sz w:val="24"/>
          <w:szCs w:val="24"/>
        </w:rPr>
        <w:t xml:space="preserve">consilier </w:t>
      </w:r>
      <w:r w:rsidR="002443D2">
        <w:rPr>
          <w:rFonts w:ascii="Arial" w:hAnsi="Arial"/>
          <w:sz w:val="24"/>
          <w:szCs w:val="24"/>
        </w:rPr>
        <w:t>Toma Andrei-Codrin</w:t>
      </w:r>
      <w:r w:rsidR="00F4664F">
        <w:rPr>
          <w:rFonts w:ascii="Arial" w:hAnsi="Arial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C5277C">
        <w:rPr>
          <w:rFonts w:ascii="Arial" w:hAnsi="Arial"/>
          <w:sz w:val="24"/>
          <w:szCs w:val="24"/>
        </w:rPr>
        <w:t xml:space="preserve">arele </w:t>
      </w:r>
      <w:r w:rsidRPr="005169B6">
        <w:rPr>
          <w:rFonts w:ascii="Arial" w:hAnsi="Arial"/>
          <w:sz w:val="24"/>
          <w:szCs w:val="24"/>
        </w:rPr>
        <w:t>proiect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4375A3" w:rsidRDefault="004375A3" w:rsidP="004375A3">
      <w:pPr>
        <w:numPr>
          <w:ilvl w:val="0"/>
          <w:numId w:val="15"/>
        </w:numPr>
        <w:tabs>
          <w:tab w:val="left" w:pos="270"/>
        </w:tabs>
        <w:spacing w:line="276" w:lineRule="auto"/>
        <w:ind w:left="0" w:right="-806" w:firstLine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PROIECT DE HOTĂRÂRE </w:t>
      </w:r>
      <w:r w:rsidRPr="00FD5D08">
        <w:rPr>
          <w:rFonts w:ascii="Arial" w:hAnsi="Arial"/>
          <w:b/>
          <w:sz w:val="24"/>
          <w:szCs w:val="24"/>
        </w:rPr>
        <w:t xml:space="preserve">privind </w:t>
      </w:r>
      <w:r>
        <w:rPr>
          <w:rFonts w:ascii="Arial" w:hAnsi="Arial"/>
          <w:b/>
          <w:sz w:val="24"/>
          <w:szCs w:val="24"/>
        </w:rPr>
        <w:t>asumarea/neasumarea responsabilității organizării și derulării procedurilor de atribuire a contractelor/acordurilor-cadru pentru achiziția produselor aferente Programului pentru Școli al României și a contractelor/acordurilor-cadru de prestare a serviciilor pentru derularea măsurilor educative, pentru anul 2019-2020, la nivelul Municipiului Pașcani</w:t>
      </w:r>
    </w:p>
    <w:p w:rsidR="004375A3" w:rsidRPr="00FD5D08" w:rsidRDefault="004375A3" w:rsidP="004375A3">
      <w:pPr>
        <w:spacing w:line="276" w:lineRule="auto"/>
        <w:ind w:right="-806" w:firstLine="1440"/>
        <w:jc w:val="both"/>
        <w:rPr>
          <w:rFonts w:ascii="Arial" w:hAnsi="Arial"/>
          <w:b/>
          <w:sz w:val="24"/>
          <w:szCs w:val="24"/>
        </w:rPr>
      </w:pPr>
    </w:p>
    <w:p w:rsidR="004375A3" w:rsidRDefault="004375A3" w:rsidP="004375A3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4375A3" w:rsidRDefault="004375A3" w:rsidP="004375A3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4375A3" w:rsidRPr="00A62EDD" w:rsidRDefault="004375A3" w:rsidP="004375A3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PROIECT DE </w:t>
      </w:r>
      <w:r w:rsidRPr="00A62EDD">
        <w:rPr>
          <w:rFonts w:ascii="Arial" w:hAnsi="Arial"/>
          <w:b/>
          <w:sz w:val="24"/>
          <w:szCs w:val="24"/>
        </w:rPr>
        <w:t xml:space="preserve">HOTĂRÂRE </w:t>
      </w:r>
      <w:r w:rsidRPr="00A62EDD">
        <w:rPr>
          <w:rFonts w:ascii="Arial" w:hAnsi="Arial"/>
          <w:b/>
          <w:sz w:val="24"/>
          <w:szCs w:val="24"/>
          <w:lang w:val="fr-FR"/>
        </w:rPr>
        <w:t xml:space="preserve">privind trecerea din proprietatea privată </w:t>
      </w:r>
      <w:r w:rsidRPr="00A62EDD">
        <w:rPr>
          <w:rFonts w:ascii="Arial" w:hAnsi="Arial"/>
          <w:b/>
          <w:sz w:val="24"/>
          <w:szCs w:val="24"/>
        </w:rPr>
        <w:t>a municipiului Pașcani și administrarea Consiliului Local al municipiului Pașcani, în proprietatea publică a municipiului Pașcani și administrarea Consiliului Local Pașcani a terenului în suprafață de 2079 mp situat în municipiul Pașcani, strada Morilor, județul Iași</w:t>
      </w:r>
    </w:p>
    <w:p w:rsidR="004375A3" w:rsidRDefault="004375A3" w:rsidP="004375A3">
      <w:pPr>
        <w:ind w:right="-806" w:firstLine="1350"/>
        <w:jc w:val="both"/>
        <w:rPr>
          <w:rFonts w:ascii="Arial" w:hAnsi="Arial"/>
          <w:i/>
          <w:sz w:val="24"/>
          <w:szCs w:val="24"/>
        </w:rPr>
      </w:pPr>
    </w:p>
    <w:p w:rsidR="004375A3" w:rsidRDefault="004375A3" w:rsidP="004375A3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4375A3" w:rsidRDefault="004375A3" w:rsidP="004375A3">
      <w:pPr>
        <w:ind w:right="-806" w:firstLine="1350"/>
        <w:jc w:val="both"/>
        <w:rPr>
          <w:rFonts w:ascii="Arial" w:hAnsi="Arial"/>
          <w:i/>
          <w:sz w:val="24"/>
          <w:szCs w:val="24"/>
        </w:rPr>
      </w:pPr>
    </w:p>
    <w:p w:rsidR="004375A3" w:rsidRDefault="004375A3" w:rsidP="004375A3">
      <w:pPr>
        <w:tabs>
          <w:tab w:val="left" w:pos="630"/>
        </w:tabs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</w:rPr>
        <w:t xml:space="preserve">3. PROIECT DE </w:t>
      </w:r>
      <w:r w:rsidRPr="00A62EDD">
        <w:rPr>
          <w:rFonts w:ascii="Arial" w:hAnsi="Arial"/>
          <w:b/>
          <w:sz w:val="24"/>
          <w:szCs w:val="24"/>
        </w:rPr>
        <w:t xml:space="preserve">HOTĂRÂRE </w:t>
      </w:r>
      <w:r w:rsidRPr="00A62EDD">
        <w:rPr>
          <w:rFonts w:ascii="Arial" w:hAnsi="Arial"/>
          <w:b/>
          <w:sz w:val="24"/>
          <w:szCs w:val="24"/>
          <w:lang w:val="fr-FR"/>
        </w:rPr>
        <w:t>privind modificarea și completarea Hotărârii Consiliului Local al Municipiului Pașcani nr 29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 w:rsidRPr="00A62EDD">
        <w:rPr>
          <w:rFonts w:ascii="Arial" w:hAnsi="Arial"/>
          <w:b/>
          <w:sz w:val="24"/>
          <w:szCs w:val="24"/>
          <w:lang w:val="fr-FR"/>
        </w:rPr>
        <w:t>din 21.02.2018 privind darea în administrarea Direcției Generale de Asistență Socială și Protecția Copilului Iași, cu titlu gratuit, a terenului situat în str. Morilor (loturile 1,2,3,4,5,6 și 8) în vederea construirii a două case de tip familial, pe toată durata existenței clădirilor</w:t>
      </w:r>
    </w:p>
    <w:p w:rsidR="004375A3" w:rsidRPr="00A62EDD" w:rsidRDefault="004375A3" w:rsidP="004375A3">
      <w:pPr>
        <w:tabs>
          <w:tab w:val="left" w:pos="630"/>
        </w:tabs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</w:p>
    <w:p w:rsidR="004375A3" w:rsidRDefault="004375A3" w:rsidP="004375A3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4375A3" w:rsidRDefault="004375A3" w:rsidP="004375A3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F4664F" w:rsidRDefault="00D4048D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2443D2">
        <w:rPr>
          <w:rFonts w:ascii="Arial" w:hAnsi="Arial"/>
          <w:sz w:val="24"/>
          <w:szCs w:val="24"/>
        </w:rPr>
        <w:t>Toma Andrei-Codrin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940957">
        <w:rPr>
          <w:rFonts w:ascii="Arial" w:hAnsi="Arial"/>
          <w:sz w:val="24"/>
          <w:szCs w:val="24"/>
        </w:rPr>
        <w:t xml:space="preserve">, care </w:t>
      </w:r>
      <w:r w:rsidR="002D63DB">
        <w:rPr>
          <w:rFonts w:ascii="Arial" w:hAnsi="Arial"/>
          <w:sz w:val="24"/>
          <w:szCs w:val="24"/>
        </w:rPr>
        <w:t xml:space="preserve">a fost adoptată cu </w:t>
      </w:r>
      <w:r w:rsidR="008D637B">
        <w:rPr>
          <w:rFonts w:ascii="Arial" w:hAnsi="Arial"/>
          <w:sz w:val="24"/>
          <w:szCs w:val="24"/>
        </w:rPr>
        <w:t>1</w:t>
      </w:r>
      <w:r w:rsidR="002443D2">
        <w:rPr>
          <w:rFonts w:ascii="Arial" w:hAnsi="Arial"/>
          <w:sz w:val="24"/>
          <w:szCs w:val="24"/>
        </w:rPr>
        <w:t>6</w:t>
      </w:r>
      <w:r w:rsidR="002D63DB">
        <w:rPr>
          <w:rFonts w:ascii="Arial" w:hAnsi="Arial"/>
          <w:sz w:val="24"/>
          <w:szCs w:val="24"/>
        </w:rPr>
        <w:t xml:space="preserve"> voturi pentru</w:t>
      </w:r>
      <w:r w:rsidR="00F956D1">
        <w:rPr>
          <w:rFonts w:ascii="Arial" w:hAnsi="Arial"/>
          <w:sz w:val="24"/>
          <w:szCs w:val="24"/>
        </w:rPr>
        <w:t>.</w:t>
      </w:r>
    </w:p>
    <w:p w:rsidR="00E721F1" w:rsidRDefault="00E721F1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C5277C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următoarele hotărâri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4375A3" w:rsidRDefault="00D4048D" w:rsidP="004375A3">
      <w:pPr>
        <w:tabs>
          <w:tab w:val="left" w:pos="270"/>
        </w:tabs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 xml:space="preserve">1.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4375A3">
        <w:rPr>
          <w:rFonts w:ascii="Arial" w:hAnsi="Arial"/>
          <w:b/>
          <w:sz w:val="24"/>
          <w:szCs w:val="24"/>
          <w:u w:val="single"/>
        </w:rPr>
        <w:t>108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4375A3">
        <w:rPr>
          <w:rFonts w:ascii="Arial" w:hAnsi="Arial"/>
          <w:b/>
          <w:sz w:val="24"/>
          <w:szCs w:val="24"/>
          <w:u w:val="single"/>
        </w:rPr>
        <w:t>6 mai</w:t>
      </w:r>
      <w:r>
        <w:rPr>
          <w:rFonts w:ascii="Arial" w:hAnsi="Arial"/>
          <w:b/>
          <w:sz w:val="24"/>
          <w:szCs w:val="24"/>
          <w:u w:val="single"/>
        </w:rPr>
        <w:t xml:space="preserve"> 2019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4375A3" w:rsidRPr="00FD5D08">
        <w:rPr>
          <w:rFonts w:ascii="Arial" w:hAnsi="Arial"/>
          <w:b/>
          <w:sz w:val="24"/>
          <w:szCs w:val="24"/>
        </w:rPr>
        <w:t xml:space="preserve">privind </w:t>
      </w:r>
      <w:r w:rsidR="004375A3">
        <w:rPr>
          <w:rFonts w:ascii="Arial" w:hAnsi="Arial"/>
          <w:b/>
          <w:sz w:val="24"/>
          <w:szCs w:val="24"/>
        </w:rPr>
        <w:t>neasumarea responsabilității organizării și derulării procedurilor de atribuire a contractelor/acordurilor-cadru pentru achiziția produselor aferente Programului pentru Școli al României și a contractelor/acordurilor-cadru de prestare a serviciilor pentru derularea măsurilor educative, pentru anul 2019-2020, la nivelul Municipiului Pașcani</w:t>
      </w:r>
    </w:p>
    <w:p w:rsidR="00F956D1" w:rsidRDefault="000C267E" w:rsidP="004375A3">
      <w:pPr>
        <w:pStyle w:val="ListParagraph"/>
        <w:numPr>
          <w:ilvl w:val="0"/>
          <w:numId w:val="17"/>
        </w:numPr>
        <w:tabs>
          <w:tab w:val="left" w:pos="270"/>
        </w:tabs>
        <w:spacing w:line="276" w:lineRule="auto"/>
        <w:ind w:right="-288" w:firstLine="720"/>
        <w:jc w:val="both"/>
        <w:rPr>
          <w:rFonts w:ascii="Arial" w:hAnsi="Arial"/>
          <w:sz w:val="24"/>
          <w:szCs w:val="24"/>
          <w:lang w:val="it-IT"/>
        </w:rPr>
      </w:pPr>
      <w:r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75A3">
        <w:rPr>
          <w:rFonts w:ascii="Arial" w:hAnsi="Arial"/>
          <w:sz w:val="24"/>
          <w:szCs w:val="24"/>
          <w:lang w:val="it-IT"/>
        </w:rPr>
        <w:t>1</w:t>
      </w:r>
      <w:r w:rsidR="004375A3">
        <w:rPr>
          <w:rFonts w:ascii="Arial" w:hAnsi="Arial"/>
          <w:sz w:val="24"/>
          <w:szCs w:val="24"/>
          <w:lang w:val="it-IT"/>
        </w:rPr>
        <w:t>0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4375A3" w:rsidRPr="004375A3" w:rsidRDefault="004375A3" w:rsidP="004375A3">
      <w:pPr>
        <w:pStyle w:val="ListParagraph"/>
        <w:numPr>
          <w:ilvl w:val="0"/>
          <w:numId w:val="17"/>
        </w:numPr>
        <w:tabs>
          <w:tab w:val="left" w:pos="270"/>
        </w:tabs>
        <w:spacing w:line="276" w:lineRule="auto"/>
        <w:ind w:right="-288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6 voturi împotrivă</w:t>
      </w:r>
    </w:p>
    <w:p w:rsidR="008D637B" w:rsidRPr="00F06C70" w:rsidRDefault="008D637B" w:rsidP="008D637B">
      <w:pPr>
        <w:pStyle w:val="ListParagraph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4375A3" w:rsidRDefault="004375A3" w:rsidP="004375A3">
      <w:pPr>
        <w:tabs>
          <w:tab w:val="left" w:pos="270"/>
        </w:tabs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>2. HCL nr. 109 din 6 mai 2019</w:t>
      </w:r>
      <w:r w:rsidRPr="00C81B3E">
        <w:rPr>
          <w:rFonts w:ascii="Arial" w:hAnsi="Arial"/>
          <w:sz w:val="24"/>
          <w:szCs w:val="24"/>
        </w:rPr>
        <w:t xml:space="preserve"> </w:t>
      </w:r>
      <w:r w:rsidRPr="00A62EDD">
        <w:rPr>
          <w:rFonts w:ascii="Arial" w:hAnsi="Arial"/>
          <w:b/>
          <w:sz w:val="24"/>
          <w:szCs w:val="24"/>
          <w:lang w:val="fr-FR"/>
        </w:rPr>
        <w:t xml:space="preserve">privind trecerea din proprietatea privată </w:t>
      </w:r>
      <w:r w:rsidRPr="00A62EDD">
        <w:rPr>
          <w:rFonts w:ascii="Arial" w:hAnsi="Arial"/>
          <w:b/>
          <w:sz w:val="24"/>
          <w:szCs w:val="24"/>
        </w:rPr>
        <w:t xml:space="preserve">a municipiului Pașcani și administrarea Consiliului Local al municipiului Pașcani, în proprietatea </w:t>
      </w:r>
      <w:r w:rsidRPr="00A62EDD">
        <w:rPr>
          <w:rFonts w:ascii="Arial" w:hAnsi="Arial"/>
          <w:b/>
          <w:sz w:val="24"/>
          <w:szCs w:val="24"/>
        </w:rPr>
        <w:lastRenderedPageBreak/>
        <w:t>publică a municipiului Pașcani și administrarea Consiliului Local Pașcani a terenului în suprafață de 2079 mp situat în municipiul Pașcani, strada Morilor, județul Iași</w:t>
      </w:r>
    </w:p>
    <w:p w:rsidR="008D637B" w:rsidRDefault="004375A3" w:rsidP="004375A3">
      <w:pPr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</w:t>
      </w:r>
      <w:r w:rsidR="00D4048D">
        <w:rPr>
          <w:rFonts w:ascii="Arial" w:hAnsi="Arial"/>
          <w:sz w:val="24"/>
          <w:szCs w:val="24"/>
          <w:lang w:val="it-IT"/>
        </w:rPr>
        <w:t xml:space="preserve">-          </w:t>
      </w:r>
      <w:r w:rsidR="00D4048D" w:rsidRPr="008D637B">
        <w:rPr>
          <w:rFonts w:ascii="Arial" w:hAnsi="Arial"/>
          <w:sz w:val="24"/>
          <w:szCs w:val="24"/>
          <w:lang w:val="it-IT"/>
        </w:rPr>
        <w:t>a fost adoptată cu 1</w:t>
      </w:r>
      <w:r w:rsidR="002443D2">
        <w:rPr>
          <w:rFonts w:ascii="Arial" w:hAnsi="Arial"/>
          <w:sz w:val="24"/>
          <w:szCs w:val="24"/>
          <w:lang w:val="it-IT"/>
        </w:rPr>
        <w:t>6</w:t>
      </w:r>
      <w:r w:rsidR="00D4048D" w:rsidRPr="008D637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D4048D" w:rsidRDefault="00D4048D" w:rsidP="00D4048D">
      <w:pPr>
        <w:tabs>
          <w:tab w:val="left" w:pos="270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4375A3" w:rsidRDefault="004375A3" w:rsidP="004375A3">
      <w:pPr>
        <w:tabs>
          <w:tab w:val="left" w:pos="270"/>
        </w:tabs>
        <w:spacing w:line="276" w:lineRule="auto"/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  <w:u w:val="single"/>
        </w:rPr>
        <w:t>3. HCL nr. 110 din 6 mai 2019</w:t>
      </w:r>
      <w:r w:rsidRPr="00C81B3E">
        <w:rPr>
          <w:rFonts w:ascii="Arial" w:hAnsi="Arial"/>
          <w:sz w:val="24"/>
          <w:szCs w:val="24"/>
        </w:rPr>
        <w:t xml:space="preserve"> </w:t>
      </w:r>
      <w:r w:rsidRPr="00A62EDD">
        <w:rPr>
          <w:rFonts w:ascii="Arial" w:hAnsi="Arial"/>
          <w:b/>
          <w:sz w:val="24"/>
          <w:szCs w:val="24"/>
          <w:lang w:val="fr-FR"/>
        </w:rPr>
        <w:t>privind modificarea și completarea Hotărârii Consiliului Local al Municipiului Pașcani nr 29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 w:rsidRPr="00A62EDD">
        <w:rPr>
          <w:rFonts w:ascii="Arial" w:hAnsi="Arial"/>
          <w:b/>
          <w:sz w:val="24"/>
          <w:szCs w:val="24"/>
          <w:lang w:val="fr-FR"/>
        </w:rPr>
        <w:t>din 21.02.2018 privind darea în administrarea Direcției Generale de Asistență Socială și Protecția Copilului Iași, cu titlu gratuit, a terenului situat în str. Morilor (loturile 1,2,3,4,5,6 și 8) în vederea construirii a două case de tip familial, pe toată durata existenței clădirilor</w:t>
      </w:r>
    </w:p>
    <w:p w:rsidR="004375A3" w:rsidRDefault="004375A3" w:rsidP="004375A3">
      <w:pPr>
        <w:tabs>
          <w:tab w:val="left" w:pos="270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-          </w:t>
      </w:r>
      <w:r w:rsidRPr="008D637B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6</w:t>
      </w:r>
      <w:r w:rsidRPr="008D637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E721F1" w:rsidRDefault="00E721F1" w:rsidP="002443D2">
      <w:pPr>
        <w:ind w:right="-81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FD30D5">
        <w:rPr>
          <w:rFonts w:ascii="Arial" w:hAnsi="Arial"/>
          <w:sz w:val="24"/>
          <w:szCs w:val="24"/>
        </w:rPr>
        <w:t>10,51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Default="00F11B75" w:rsidP="00851DEA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D637B" w:rsidRPr="00851DEA" w:rsidRDefault="008D637B" w:rsidP="00851DEA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sectPr w:rsidR="00777361" w:rsidRPr="008438A9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AC" w:rsidRDefault="00F828AC" w:rsidP="003C0B9C">
      <w:r>
        <w:separator/>
      </w:r>
    </w:p>
  </w:endnote>
  <w:endnote w:type="continuationSeparator" w:id="0">
    <w:p w:rsidR="00F828AC" w:rsidRDefault="00F828AC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B06189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B06189" w:rsidRPr="00E151A3">
      <w:rPr>
        <w:rFonts w:ascii="Arial" w:hAnsi="Arial"/>
        <w:sz w:val="20"/>
        <w:szCs w:val="20"/>
        <w:vertAlign w:val="superscript"/>
      </w:rPr>
      <w:fldChar w:fldCharType="separate"/>
    </w:r>
    <w:r w:rsidR="00C25860">
      <w:rPr>
        <w:rFonts w:ascii="Arial" w:hAnsi="Arial"/>
        <w:noProof/>
        <w:sz w:val="20"/>
        <w:szCs w:val="20"/>
        <w:vertAlign w:val="superscript"/>
      </w:rPr>
      <w:t>1</w:t>
    </w:r>
    <w:r w:rsidR="00B06189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AC" w:rsidRDefault="00F828AC" w:rsidP="003C0B9C">
      <w:r>
        <w:separator/>
      </w:r>
    </w:p>
  </w:footnote>
  <w:footnote w:type="continuationSeparator" w:id="0">
    <w:p w:rsidR="00F828AC" w:rsidRDefault="00F828AC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A6825"/>
    <w:rsid w:val="001C5759"/>
    <w:rsid w:val="002046BF"/>
    <w:rsid w:val="002107A5"/>
    <w:rsid w:val="00222B12"/>
    <w:rsid w:val="00226446"/>
    <w:rsid w:val="002372C0"/>
    <w:rsid w:val="002443D2"/>
    <w:rsid w:val="00280C83"/>
    <w:rsid w:val="0028238A"/>
    <w:rsid w:val="002832B4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F07CA"/>
    <w:rsid w:val="00641C86"/>
    <w:rsid w:val="00645AD1"/>
    <w:rsid w:val="0065192E"/>
    <w:rsid w:val="00652178"/>
    <w:rsid w:val="00664E23"/>
    <w:rsid w:val="0068139C"/>
    <w:rsid w:val="00693908"/>
    <w:rsid w:val="006B1264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80280C"/>
    <w:rsid w:val="0080476E"/>
    <w:rsid w:val="00813DB8"/>
    <w:rsid w:val="00821604"/>
    <w:rsid w:val="00822075"/>
    <w:rsid w:val="00837A46"/>
    <w:rsid w:val="008438A9"/>
    <w:rsid w:val="00844381"/>
    <w:rsid w:val="00851DEA"/>
    <w:rsid w:val="00865195"/>
    <w:rsid w:val="00886957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903DC"/>
    <w:rsid w:val="00995B43"/>
    <w:rsid w:val="009A21AC"/>
    <w:rsid w:val="009A54A6"/>
    <w:rsid w:val="009A674A"/>
    <w:rsid w:val="009A741A"/>
    <w:rsid w:val="009B2996"/>
    <w:rsid w:val="009D7958"/>
    <w:rsid w:val="00A509BF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A2DF3"/>
    <w:rsid w:val="00BB0221"/>
    <w:rsid w:val="00BB6B6F"/>
    <w:rsid w:val="00BD7428"/>
    <w:rsid w:val="00BF1128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D001E2"/>
    <w:rsid w:val="00D165D5"/>
    <w:rsid w:val="00D4048D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165F-FCCD-4523-9B48-E7828766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2019-04-17T09:55:00Z</cp:lastPrinted>
  <dcterms:created xsi:type="dcterms:W3CDTF">2019-05-06T08:35:00Z</dcterms:created>
  <dcterms:modified xsi:type="dcterms:W3CDTF">2019-05-06T09:12:00Z</dcterms:modified>
</cp:coreProperties>
</file>